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line="276" w:lineRule="auto"/>
        <w:rPr>
          <w:rFonts w:ascii="Instrument Sans" w:cs="Instrument Sans" w:eastAsia="Instrument Sans" w:hAnsi="Instrument Sans"/>
          <w:b w:val="1"/>
          <w:sz w:val="28"/>
          <w:szCs w:val="28"/>
        </w:rPr>
      </w:pPr>
      <w:r w:rsidDel="00000000" w:rsidR="00000000" w:rsidRPr="00000000">
        <w:rPr>
          <w:rFonts w:ascii="Instrument Sans" w:cs="Instrument Sans" w:eastAsia="Instrument Sans" w:hAnsi="Instrument Sans"/>
          <w:b w:val="1"/>
          <w:sz w:val="28"/>
          <w:szCs w:val="28"/>
          <w:rtl w:val="0"/>
        </w:rPr>
        <w:t xml:space="preserve">Axonius Company Facts:</w:t>
      </w:r>
      <w:r w:rsidDel="00000000" w:rsidR="00000000" w:rsidRPr="00000000">
        <w:rPr>
          <w:rtl w:val="0"/>
        </w:rPr>
      </w:r>
    </w:p>
    <w:p w:rsidR="00000000" w:rsidDel="00000000" w:rsidP="00000000" w:rsidRDefault="00000000" w:rsidRPr="00000000" w14:paraId="00000002">
      <w:pPr>
        <w:spacing w:line="276" w:lineRule="auto"/>
        <w:rPr>
          <w:rFonts w:ascii="Instrument Sans" w:cs="Instrument Sans" w:eastAsia="Instrument Sans" w:hAnsi="Instrument Sans"/>
          <w:b w:val="1"/>
          <w:sz w:val="28"/>
          <w:szCs w:val="28"/>
        </w:rPr>
      </w:pPr>
      <w:r w:rsidDel="00000000" w:rsidR="00000000" w:rsidRPr="00000000">
        <w:rPr>
          <w:rtl w:val="0"/>
        </w:rPr>
      </w:r>
    </w:p>
    <w:p w:rsidR="00000000" w:rsidDel="00000000" w:rsidP="00000000" w:rsidRDefault="00000000" w:rsidRPr="00000000" w14:paraId="00000003">
      <w:pPr>
        <w:numPr>
          <w:ilvl w:val="0"/>
          <w:numId w:val="1"/>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Founded: 2017</w:t>
      </w:r>
    </w:p>
    <w:p w:rsidR="00000000" w:rsidDel="00000000" w:rsidP="00000000" w:rsidRDefault="00000000" w:rsidRPr="00000000" w14:paraId="00000004">
      <w:pPr>
        <w:numPr>
          <w:ilvl w:val="0"/>
          <w:numId w:val="1"/>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Founders:</w:t>
      </w:r>
    </w:p>
    <w:p w:rsidR="00000000" w:rsidDel="00000000" w:rsidP="00000000" w:rsidRDefault="00000000" w:rsidRPr="00000000" w14:paraId="00000005">
      <w:pPr>
        <w:numPr>
          <w:ilvl w:val="1"/>
          <w:numId w:val="1"/>
        </w:numPr>
        <w:spacing w:line="276" w:lineRule="auto"/>
        <w:ind w:left="144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Dean Sysman, Co-founder and Chief Executive Officer</w:t>
      </w:r>
    </w:p>
    <w:p w:rsidR="00000000" w:rsidDel="00000000" w:rsidP="00000000" w:rsidRDefault="00000000" w:rsidRPr="00000000" w14:paraId="00000006">
      <w:pPr>
        <w:numPr>
          <w:ilvl w:val="1"/>
          <w:numId w:val="1"/>
        </w:numPr>
        <w:spacing w:line="276" w:lineRule="auto"/>
        <w:ind w:left="144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Ofri Shur, Co-founder and Chief Technology Officer</w:t>
      </w:r>
    </w:p>
    <w:p w:rsidR="00000000" w:rsidDel="00000000" w:rsidP="00000000" w:rsidRDefault="00000000" w:rsidRPr="00000000" w14:paraId="00000007">
      <w:pPr>
        <w:numPr>
          <w:ilvl w:val="1"/>
          <w:numId w:val="1"/>
        </w:numPr>
        <w:spacing w:line="276" w:lineRule="auto"/>
        <w:ind w:left="144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Avidor Bartov, Co-founder and Chief Product Officer</w:t>
      </w:r>
    </w:p>
    <w:p w:rsidR="00000000" w:rsidDel="00000000" w:rsidP="00000000" w:rsidRDefault="00000000" w:rsidRPr="00000000" w14:paraId="00000008">
      <w:pPr>
        <w:numPr>
          <w:ilvl w:val="0"/>
          <w:numId w:val="1"/>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Products Information:</w:t>
      </w:r>
    </w:p>
    <w:p w:rsidR="00000000" w:rsidDel="00000000" w:rsidP="00000000" w:rsidRDefault="00000000" w:rsidRPr="00000000" w14:paraId="00000009">
      <w:pPr>
        <w:numPr>
          <w:ilvl w:val="1"/>
          <w:numId w:val="1"/>
        </w:numPr>
        <w:spacing w:line="276" w:lineRule="auto"/>
        <w:ind w:left="1440" w:hanging="360"/>
        <w:rPr>
          <w:rFonts w:ascii="Instrument Sans" w:cs="Instrument Sans" w:eastAsia="Instrument Sans" w:hAnsi="Instrument Sans"/>
          <w:sz w:val="20"/>
          <w:szCs w:val="20"/>
        </w:rPr>
      </w:pPr>
      <w:hyperlink r:id="rId7">
        <w:r w:rsidDel="00000000" w:rsidR="00000000" w:rsidRPr="00000000">
          <w:rPr>
            <w:rFonts w:ascii="Instrument Sans" w:cs="Instrument Sans" w:eastAsia="Instrument Sans" w:hAnsi="Instrument Sans"/>
            <w:color w:val="1155cc"/>
            <w:sz w:val="20"/>
            <w:szCs w:val="20"/>
            <w:u w:val="single"/>
            <w:rtl w:val="0"/>
          </w:rPr>
          <w:t xml:space="preserve">Axonius CyberAssets</w:t>
        </w:r>
      </w:hyperlink>
      <w:r w:rsidDel="00000000" w:rsidR="00000000" w:rsidRPr="00000000">
        <w:rPr>
          <w:rtl w:val="0"/>
        </w:rPr>
      </w:r>
    </w:p>
    <w:p w:rsidR="00000000" w:rsidDel="00000000" w:rsidP="00000000" w:rsidRDefault="00000000" w:rsidRPr="00000000" w14:paraId="0000000A">
      <w:pPr>
        <w:numPr>
          <w:ilvl w:val="1"/>
          <w:numId w:val="1"/>
        </w:numPr>
        <w:spacing w:line="276" w:lineRule="auto"/>
        <w:ind w:left="1440" w:hanging="360"/>
        <w:rPr>
          <w:rFonts w:ascii="Instrument Sans" w:cs="Instrument Sans" w:eastAsia="Instrument Sans" w:hAnsi="Instrument Sans"/>
          <w:sz w:val="20"/>
          <w:szCs w:val="20"/>
        </w:rPr>
      </w:pPr>
      <w:hyperlink r:id="rId8">
        <w:r w:rsidDel="00000000" w:rsidR="00000000" w:rsidRPr="00000000">
          <w:rPr>
            <w:rFonts w:ascii="Instrument Sans" w:cs="Instrument Sans" w:eastAsia="Instrument Sans" w:hAnsi="Instrument Sans"/>
            <w:color w:val="1155cc"/>
            <w:sz w:val="20"/>
            <w:szCs w:val="20"/>
            <w:u w:val="single"/>
            <w:rtl w:val="0"/>
          </w:rPr>
          <w:t xml:space="preserve">Axonius Software Assets</w:t>
        </w:r>
      </w:hyperlink>
      <w:r w:rsidDel="00000000" w:rsidR="00000000" w:rsidRPr="00000000">
        <w:rPr>
          <w:rtl w:val="0"/>
        </w:rPr>
      </w:r>
    </w:p>
    <w:p w:rsidR="00000000" w:rsidDel="00000000" w:rsidP="00000000" w:rsidRDefault="00000000" w:rsidRPr="00000000" w14:paraId="0000000B">
      <w:pPr>
        <w:numPr>
          <w:ilvl w:val="1"/>
          <w:numId w:val="1"/>
        </w:numPr>
        <w:spacing w:line="276" w:lineRule="auto"/>
        <w:ind w:left="1440" w:hanging="360"/>
        <w:rPr>
          <w:rFonts w:ascii="Instrument Sans" w:cs="Instrument Sans" w:eastAsia="Instrument Sans" w:hAnsi="Instrument Sans"/>
          <w:sz w:val="20"/>
          <w:szCs w:val="20"/>
        </w:rPr>
      </w:pPr>
      <w:hyperlink r:id="rId9">
        <w:r w:rsidDel="00000000" w:rsidR="00000000" w:rsidRPr="00000000">
          <w:rPr>
            <w:rFonts w:ascii="Instrument Sans" w:cs="Instrument Sans" w:eastAsia="Instrument Sans" w:hAnsi="Instrument Sans"/>
            <w:color w:val="1155cc"/>
            <w:sz w:val="20"/>
            <w:szCs w:val="20"/>
            <w:u w:val="single"/>
            <w:rtl w:val="0"/>
          </w:rPr>
          <w:t xml:space="preserve">Axonius SaaS Applications</w:t>
        </w:r>
      </w:hyperlink>
      <w:r w:rsidDel="00000000" w:rsidR="00000000" w:rsidRPr="00000000">
        <w:rPr>
          <w:rtl w:val="0"/>
        </w:rPr>
      </w:r>
    </w:p>
    <w:p w:rsidR="00000000" w:rsidDel="00000000" w:rsidP="00000000" w:rsidRDefault="00000000" w:rsidRPr="00000000" w14:paraId="0000000C">
      <w:pPr>
        <w:numPr>
          <w:ilvl w:val="1"/>
          <w:numId w:val="1"/>
        </w:numPr>
        <w:spacing w:line="276" w:lineRule="auto"/>
        <w:ind w:left="1440" w:hanging="360"/>
        <w:rPr>
          <w:rFonts w:ascii="Instrument Sans" w:cs="Instrument Sans" w:eastAsia="Instrument Sans" w:hAnsi="Instrument Sans"/>
          <w:sz w:val="20"/>
          <w:szCs w:val="20"/>
        </w:rPr>
      </w:pPr>
      <w:hyperlink r:id="rId10">
        <w:r w:rsidDel="00000000" w:rsidR="00000000" w:rsidRPr="00000000">
          <w:rPr>
            <w:rFonts w:ascii="Instrument Sans" w:cs="Instrument Sans" w:eastAsia="Instrument Sans" w:hAnsi="Instrument Sans"/>
            <w:color w:val="1155cc"/>
            <w:sz w:val="20"/>
            <w:szCs w:val="20"/>
            <w:u w:val="single"/>
            <w:rtl w:val="0"/>
          </w:rPr>
          <w:t xml:space="preserve">Axonius Exposures</w:t>
        </w:r>
      </w:hyperlink>
      <w:r w:rsidDel="00000000" w:rsidR="00000000" w:rsidRPr="00000000">
        <w:rPr>
          <w:rtl w:val="0"/>
        </w:rPr>
      </w:r>
    </w:p>
    <w:p w:rsidR="00000000" w:rsidDel="00000000" w:rsidP="00000000" w:rsidRDefault="00000000" w:rsidRPr="00000000" w14:paraId="0000000D">
      <w:pPr>
        <w:numPr>
          <w:ilvl w:val="1"/>
          <w:numId w:val="1"/>
        </w:numPr>
        <w:spacing w:line="276" w:lineRule="auto"/>
        <w:ind w:left="1440" w:hanging="360"/>
        <w:rPr>
          <w:rFonts w:ascii="Instrument Sans" w:cs="Instrument Sans" w:eastAsia="Instrument Sans" w:hAnsi="Instrument Sans"/>
          <w:sz w:val="20"/>
          <w:szCs w:val="20"/>
        </w:rPr>
      </w:pPr>
      <w:hyperlink r:id="rId11">
        <w:r w:rsidDel="00000000" w:rsidR="00000000" w:rsidRPr="00000000">
          <w:rPr>
            <w:rFonts w:ascii="Instrument Sans" w:cs="Instrument Sans" w:eastAsia="Instrument Sans" w:hAnsi="Instrument Sans"/>
            <w:color w:val="1155cc"/>
            <w:sz w:val="20"/>
            <w:szCs w:val="20"/>
            <w:u w:val="single"/>
            <w:rtl w:val="0"/>
          </w:rPr>
          <w:t xml:space="preserve">Axonius Identities</w:t>
        </w:r>
      </w:hyperlink>
      <w:r w:rsidDel="00000000" w:rsidR="00000000" w:rsidRPr="00000000">
        <w:rPr>
          <w:rtl w:val="0"/>
        </w:rPr>
      </w:r>
    </w:p>
    <w:p w:rsidR="00000000" w:rsidDel="00000000" w:rsidP="00000000" w:rsidRDefault="00000000" w:rsidRPr="00000000" w14:paraId="0000000E">
      <w:pPr>
        <w:numPr>
          <w:ilvl w:val="0"/>
          <w:numId w:val="1"/>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Axonius has raised $395 million in venture capital funding from investors Accel, Bessemer Venture Partners, Lightspeed Venture Partners, Silver Lake Waterman, Alta Park Capital, Owl Rock (a division of Blue Owl), Alkeon, Stripes, ICONIQ, and DTCP.  Most recently, the company </w:t>
      </w:r>
      <w:hyperlink r:id="rId12">
        <w:r w:rsidDel="00000000" w:rsidR="00000000" w:rsidRPr="00000000">
          <w:rPr>
            <w:rFonts w:ascii="Instrument Sans" w:cs="Instrument Sans" w:eastAsia="Instrument Sans" w:hAnsi="Instrument Sans"/>
            <w:color w:val="1155cc"/>
            <w:sz w:val="20"/>
            <w:szCs w:val="20"/>
            <w:u w:val="single"/>
            <w:rtl w:val="0"/>
          </w:rPr>
          <w:t xml:space="preserve">raised $200 million in March 2022 at a $2.6 billion valuation</w:t>
        </w:r>
      </w:hyperlink>
      <w:r w:rsidDel="00000000" w:rsidR="00000000" w:rsidRPr="00000000">
        <w:rPr>
          <w:rFonts w:ascii="Instrument Sans" w:cs="Instrument Sans" w:eastAsia="Instrument Sans" w:hAnsi="Instrument Sans"/>
          <w:sz w:val="20"/>
          <w:szCs w:val="20"/>
          <w:rtl w:val="0"/>
        </w:rPr>
        <w:t xml:space="preserve">.</w:t>
      </w:r>
    </w:p>
    <w:p w:rsidR="00000000" w:rsidDel="00000000" w:rsidP="00000000" w:rsidRDefault="00000000" w:rsidRPr="00000000" w14:paraId="0000000F">
      <w:pPr>
        <w:numPr>
          <w:ilvl w:val="0"/>
          <w:numId w:val="1"/>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Axonius is one of the faster growing cybersecurity companies to surpass $100 million in annual recurring revenue (ARR), and continues to grow at a  strong double digit growth rate. </w:t>
      </w:r>
      <w:r w:rsidDel="00000000" w:rsidR="00000000" w:rsidRPr="00000000">
        <w:rPr>
          <w:rtl w:val="0"/>
        </w:rPr>
      </w:r>
    </w:p>
    <w:p w:rsidR="00000000" w:rsidDel="00000000" w:rsidP="00000000" w:rsidRDefault="00000000" w:rsidRPr="00000000" w14:paraId="00000010">
      <w:pPr>
        <w:numPr>
          <w:ilvl w:val="0"/>
          <w:numId w:val="1"/>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Axonius helped define and lead  the Cyber Asset Attack Surface Management (CAASM) category, providing organizations with a unified, always up-to-date view of all assets across their environments. More recently, Axonius has gone beyond Visibility to deliver Actionability — helping teams identify gaps, automate policy enforcement, and take meaningful action across security and IT operations.</w:t>
      </w:r>
    </w:p>
    <w:p w:rsidR="00000000" w:rsidDel="00000000" w:rsidP="00000000" w:rsidRDefault="00000000" w:rsidRPr="00000000" w14:paraId="00000011">
      <w:pPr>
        <w:numPr>
          <w:ilvl w:val="0"/>
          <w:numId w:val="1"/>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Axonius integrates with 1,200+ security and IT management solutions, which we call “adapters”. A current list of all adapters can be found </w:t>
      </w:r>
      <w:hyperlink r:id="rId13">
        <w:r w:rsidDel="00000000" w:rsidR="00000000" w:rsidRPr="00000000">
          <w:rPr>
            <w:rFonts w:ascii="Instrument Sans" w:cs="Instrument Sans" w:eastAsia="Instrument Sans" w:hAnsi="Instrument Sans"/>
            <w:color w:val="1155cc"/>
            <w:sz w:val="20"/>
            <w:szCs w:val="20"/>
            <w:u w:val="single"/>
            <w:rtl w:val="0"/>
          </w:rPr>
          <w:t xml:space="preserve">here</w:t>
        </w:r>
      </w:hyperlink>
      <w:r w:rsidDel="00000000" w:rsidR="00000000" w:rsidRPr="00000000">
        <w:rPr>
          <w:rFonts w:ascii="Instrument Sans" w:cs="Instrument Sans" w:eastAsia="Instrument Sans" w:hAnsi="Instrument Sans"/>
          <w:sz w:val="20"/>
          <w:szCs w:val="20"/>
          <w:rtl w:val="0"/>
        </w:rPr>
        <w:t xml:space="preserve">.</w:t>
      </w:r>
    </w:p>
    <w:p w:rsidR="00000000" w:rsidDel="00000000" w:rsidP="00000000" w:rsidRDefault="00000000" w:rsidRPr="00000000" w14:paraId="00000012">
      <w:pPr>
        <w:numPr>
          <w:ilvl w:val="0"/>
          <w:numId w:val="1"/>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Axonius products and technology cover more than 500 million </w:t>
      </w:r>
      <w:r w:rsidDel="00000000" w:rsidR="00000000" w:rsidRPr="00000000">
        <w:rPr>
          <w:rFonts w:ascii="Instrument Sans" w:cs="Instrument Sans" w:eastAsia="Instrument Sans" w:hAnsi="Instrument Sans"/>
          <w:sz w:val="20"/>
          <w:szCs w:val="20"/>
          <w:rtl w:val="0"/>
        </w:rPr>
        <w:t xml:space="preserve">assets</w:t>
      </w:r>
      <w:r w:rsidDel="00000000" w:rsidR="00000000" w:rsidRPr="00000000">
        <w:rPr>
          <w:rFonts w:ascii="Instrument Sans" w:cs="Instrument Sans" w:eastAsia="Instrument Sans" w:hAnsi="Instrument Sans"/>
          <w:sz w:val="20"/>
          <w:szCs w:val="20"/>
          <w:rtl w:val="0"/>
        </w:rPr>
        <w:t xml:space="preserve"> worldwide.</w:t>
      </w:r>
    </w:p>
    <w:p w:rsidR="00000000" w:rsidDel="00000000" w:rsidP="00000000" w:rsidRDefault="00000000" w:rsidRPr="00000000" w14:paraId="00000013">
      <w:pPr>
        <w:numPr>
          <w:ilvl w:val="0"/>
          <w:numId w:val="1"/>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Axonius holds a 4.6 rating (out of 5) 4.6 stars across CAASM and IT Risk Management on Gartner Peer Insights.</w:t>
      </w:r>
      <w:r w:rsidDel="00000000" w:rsidR="00000000" w:rsidRPr="00000000">
        <w:rPr>
          <w:rtl w:val="0"/>
        </w:rPr>
      </w:r>
    </w:p>
    <w:p w:rsidR="00000000" w:rsidDel="00000000" w:rsidP="00000000" w:rsidRDefault="00000000" w:rsidRPr="00000000" w14:paraId="00000014">
      <w:pPr>
        <w:numPr>
          <w:ilvl w:val="0"/>
          <w:numId w:val="1"/>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The Axonius Correlated Partner Program has been a huge driver behind the company’s success, surpassing 275 partners globally. The program </w:t>
      </w:r>
      <w:r w:rsidDel="00000000" w:rsidR="00000000" w:rsidRPr="00000000">
        <w:rPr>
          <w:rFonts w:ascii="Instrument Sans" w:cs="Instrument Sans" w:eastAsia="Instrument Sans" w:hAnsi="Instrument Sans"/>
          <w:sz w:val="20"/>
          <w:szCs w:val="20"/>
          <w:rtl w:val="0"/>
        </w:rPr>
        <w:t xml:space="preserve">received its fifth</w:t>
      </w:r>
      <w:r w:rsidDel="00000000" w:rsidR="00000000" w:rsidRPr="00000000">
        <w:rPr>
          <w:rFonts w:ascii="Instrument Sans" w:cs="Instrument Sans" w:eastAsia="Instrument Sans" w:hAnsi="Instrument Sans"/>
          <w:sz w:val="20"/>
          <w:szCs w:val="20"/>
          <w:rtl w:val="0"/>
        </w:rPr>
        <w:t xml:space="preserve"> consecutive 5-Star rating in CRN’s Partner Program Guide (2021 - 2025).</w:t>
      </w:r>
      <w:r w:rsidDel="00000000" w:rsidR="00000000" w:rsidRPr="00000000">
        <w:rPr>
          <w:rtl w:val="0"/>
        </w:rPr>
      </w:r>
    </w:p>
    <w:p w:rsidR="00000000" w:rsidDel="00000000" w:rsidP="00000000" w:rsidRDefault="00000000" w:rsidRPr="00000000" w14:paraId="00000015">
      <w:pPr>
        <w:numPr>
          <w:ilvl w:val="0"/>
          <w:numId w:val="1"/>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In June 2021, Axonius launched </w:t>
      </w:r>
      <w:hyperlink r:id="rId14">
        <w:r w:rsidDel="00000000" w:rsidR="00000000" w:rsidRPr="00000000">
          <w:rPr>
            <w:rFonts w:ascii="Instrument Sans" w:cs="Instrument Sans" w:eastAsia="Instrument Sans" w:hAnsi="Instrument Sans"/>
            <w:color w:val="1155cc"/>
            <w:sz w:val="20"/>
            <w:szCs w:val="20"/>
            <w:u w:val="single"/>
            <w:rtl w:val="0"/>
          </w:rPr>
          <w:t xml:space="preserve">AxoniusX</w:t>
        </w:r>
      </w:hyperlink>
      <w:r w:rsidDel="00000000" w:rsidR="00000000" w:rsidRPr="00000000">
        <w:rPr>
          <w:rFonts w:ascii="Instrument Sans" w:cs="Instrument Sans" w:eastAsia="Instrument Sans" w:hAnsi="Instrument Sans"/>
          <w:sz w:val="20"/>
          <w:szCs w:val="20"/>
          <w:rtl w:val="0"/>
        </w:rPr>
        <w:t xml:space="preserve">, a new business incubator that is exploring additional market opportunities and applications of Axonius technology to bring to market industry-leading solutions that deliver new value for customers. It delivered Axonius SaaS Applications to market as its first project, and recently was behind the launch of Axonius Identities.</w:t>
      </w:r>
    </w:p>
    <w:p w:rsidR="00000000" w:rsidDel="00000000" w:rsidP="00000000" w:rsidRDefault="00000000" w:rsidRPr="00000000" w14:paraId="00000016">
      <w:pPr>
        <w:spacing w:line="276"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17">
      <w:pPr>
        <w:spacing w:line="276" w:lineRule="auto"/>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b w:val="1"/>
          <w:sz w:val="20"/>
          <w:szCs w:val="20"/>
          <w:rtl w:val="0"/>
        </w:rPr>
        <w:t xml:space="preserve">Recent Awards and Accolades:</w:t>
      </w:r>
      <w:r w:rsidDel="00000000" w:rsidR="00000000" w:rsidRPr="00000000">
        <w:rPr>
          <w:rtl w:val="0"/>
        </w:rPr>
      </w:r>
    </w:p>
    <w:p w:rsidR="00000000" w:rsidDel="00000000" w:rsidP="00000000" w:rsidRDefault="00000000" w:rsidRPr="00000000" w14:paraId="00000018">
      <w:pPr>
        <w:numPr>
          <w:ilvl w:val="0"/>
          <w:numId w:val="2"/>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Axonius was named to </w:t>
      </w:r>
      <w:r w:rsidDel="00000000" w:rsidR="00000000" w:rsidRPr="00000000">
        <w:rPr>
          <w:rFonts w:ascii="Instrument Sans" w:cs="Instrument Sans" w:eastAsia="Instrument Sans" w:hAnsi="Instrument Sans"/>
          <w:i w:val="1"/>
          <w:sz w:val="20"/>
          <w:szCs w:val="20"/>
          <w:rtl w:val="0"/>
        </w:rPr>
        <w:t xml:space="preserve">Fast Company’s </w:t>
      </w:r>
      <w:r w:rsidDel="00000000" w:rsidR="00000000" w:rsidRPr="00000000">
        <w:rPr>
          <w:rFonts w:ascii="Instrument Sans" w:cs="Instrument Sans" w:eastAsia="Instrument Sans" w:hAnsi="Instrument Sans"/>
          <w:sz w:val="20"/>
          <w:szCs w:val="20"/>
          <w:rtl w:val="0"/>
        </w:rPr>
        <w:t xml:space="preserve">annual list of the </w:t>
      </w:r>
      <w:hyperlink r:id="rId15">
        <w:r w:rsidDel="00000000" w:rsidR="00000000" w:rsidRPr="00000000">
          <w:rPr>
            <w:rFonts w:ascii="Instrument Sans" w:cs="Instrument Sans" w:eastAsia="Instrument Sans" w:hAnsi="Instrument Sans"/>
            <w:color w:val="1155cc"/>
            <w:sz w:val="20"/>
            <w:szCs w:val="20"/>
            <w:u w:val="single"/>
            <w:rtl w:val="0"/>
          </w:rPr>
          <w:t xml:space="preserve">World’s Most Innovative Companies of 2025</w:t>
        </w:r>
      </w:hyperlink>
      <w:r w:rsidDel="00000000" w:rsidR="00000000" w:rsidRPr="00000000">
        <w:rPr>
          <w:rFonts w:ascii="Instrument Sans" w:cs="Instrument Sans" w:eastAsia="Instrument Sans" w:hAnsi="Instrument Sans"/>
          <w:sz w:val="20"/>
          <w:szCs w:val="20"/>
          <w:rtl w:val="0"/>
        </w:rPr>
        <w:t xml:space="preserve">.</w:t>
      </w:r>
    </w:p>
    <w:p w:rsidR="00000000" w:rsidDel="00000000" w:rsidP="00000000" w:rsidRDefault="00000000" w:rsidRPr="00000000" w14:paraId="00000019">
      <w:pPr>
        <w:numPr>
          <w:ilvl w:val="0"/>
          <w:numId w:val="2"/>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Axonius was recently named a </w:t>
      </w:r>
      <w:hyperlink r:id="rId16">
        <w:r w:rsidDel="00000000" w:rsidR="00000000" w:rsidRPr="00000000">
          <w:rPr>
            <w:rFonts w:ascii="Instrument Sans" w:cs="Instrument Sans" w:eastAsia="Instrument Sans" w:hAnsi="Instrument Sans"/>
            <w:color w:val="1155cc"/>
            <w:sz w:val="20"/>
            <w:szCs w:val="20"/>
            <w:u w:val="single"/>
            <w:rtl w:val="0"/>
          </w:rPr>
          <w:t xml:space="preserve">CRN 20 Coolist Providers</w:t>
        </w:r>
      </w:hyperlink>
      <w:r w:rsidDel="00000000" w:rsidR="00000000" w:rsidRPr="00000000">
        <w:rPr>
          <w:rFonts w:ascii="Instrument Sans" w:cs="Instrument Sans" w:eastAsia="Instrument Sans" w:hAnsi="Instrument Sans"/>
          <w:sz w:val="20"/>
          <w:szCs w:val="20"/>
          <w:rtl w:val="0"/>
        </w:rPr>
        <w:t xml:space="preserve"> of Security Operations, Risk and Threat Intelligence in </w:t>
      </w:r>
      <w:r w:rsidDel="00000000" w:rsidR="00000000" w:rsidRPr="00000000">
        <w:rPr>
          <w:rFonts w:ascii="Instrument Sans" w:cs="Instrument Sans" w:eastAsia="Instrument Sans" w:hAnsi="Instrument Sans"/>
          <w:i w:val="1"/>
          <w:sz w:val="20"/>
          <w:szCs w:val="20"/>
          <w:rtl w:val="0"/>
        </w:rPr>
        <w:t xml:space="preserve">CRN’s</w:t>
      </w:r>
      <w:r w:rsidDel="00000000" w:rsidR="00000000" w:rsidRPr="00000000">
        <w:rPr>
          <w:rFonts w:ascii="Instrument Sans" w:cs="Instrument Sans" w:eastAsia="Instrument Sans" w:hAnsi="Instrument Sans"/>
          <w:sz w:val="20"/>
          <w:szCs w:val="20"/>
          <w:rtl w:val="0"/>
        </w:rPr>
        <w:t xml:space="preserve"> 2025 list of Security 100, in just the company’s fourth consecutive year on CRN’s Security 100.</w:t>
      </w:r>
    </w:p>
    <w:p w:rsidR="00000000" w:rsidDel="00000000" w:rsidP="00000000" w:rsidRDefault="00000000" w:rsidRPr="00000000" w14:paraId="0000001A">
      <w:pPr>
        <w:numPr>
          <w:ilvl w:val="0"/>
          <w:numId w:val="2"/>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Axonius was named to the </w:t>
      </w:r>
      <w:hyperlink r:id="rId17">
        <w:r w:rsidDel="00000000" w:rsidR="00000000" w:rsidRPr="00000000">
          <w:rPr>
            <w:rFonts w:ascii="Instrument Sans" w:cs="Instrument Sans" w:eastAsia="Instrument Sans" w:hAnsi="Instrument Sans"/>
            <w:color w:val="1155cc"/>
            <w:sz w:val="20"/>
            <w:szCs w:val="20"/>
            <w:u w:val="single"/>
            <w:rtl w:val="0"/>
          </w:rPr>
          <w:t xml:space="preserve">2024 Forbes Cloud 100</w:t>
        </w:r>
      </w:hyperlink>
      <w:r w:rsidDel="00000000" w:rsidR="00000000" w:rsidRPr="00000000">
        <w:rPr>
          <w:rFonts w:ascii="Instrument Sans" w:cs="Instrument Sans" w:eastAsia="Instrument Sans" w:hAnsi="Instrument Sans"/>
          <w:sz w:val="20"/>
          <w:szCs w:val="20"/>
          <w:rtl w:val="0"/>
        </w:rPr>
        <w:t xml:space="preserve">, the definitive ranking of the top 100 private cloud companies in the world, published by </w:t>
      </w:r>
      <w:r w:rsidDel="00000000" w:rsidR="00000000" w:rsidRPr="00000000">
        <w:rPr>
          <w:rFonts w:ascii="Instrument Sans" w:cs="Instrument Sans" w:eastAsia="Instrument Sans" w:hAnsi="Instrument Sans"/>
          <w:i w:val="1"/>
          <w:sz w:val="20"/>
          <w:szCs w:val="20"/>
          <w:rtl w:val="0"/>
        </w:rPr>
        <w:t xml:space="preserve">Forbes</w:t>
      </w:r>
      <w:r w:rsidDel="00000000" w:rsidR="00000000" w:rsidRPr="00000000">
        <w:rPr>
          <w:rFonts w:ascii="Instrument Sans" w:cs="Instrument Sans" w:eastAsia="Instrument Sans" w:hAnsi="Instrument Sans"/>
          <w:sz w:val="20"/>
          <w:szCs w:val="20"/>
          <w:rtl w:val="0"/>
        </w:rPr>
        <w:t xml:space="preserve"> in partnership with Bessemer Venture Partners and Salesforce Ventures.</w:t>
      </w:r>
    </w:p>
    <w:p w:rsidR="00000000" w:rsidDel="00000000" w:rsidP="00000000" w:rsidRDefault="00000000" w:rsidRPr="00000000" w14:paraId="0000001B">
      <w:pPr>
        <w:numPr>
          <w:ilvl w:val="0"/>
          <w:numId w:val="2"/>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Axonius was named to the </w:t>
      </w:r>
      <w:hyperlink r:id="rId18">
        <w:r w:rsidDel="00000000" w:rsidR="00000000" w:rsidRPr="00000000">
          <w:rPr>
            <w:rFonts w:ascii="Instrument Sans" w:cs="Instrument Sans" w:eastAsia="Instrument Sans" w:hAnsi="Instrument Sans"/>
            <w:color w:val="1155cc"/>
            <w:sz w:val="20"/>
            <w:szCs w:val="20"/>
            <w:u w:val="single"/>
            <w:rtl w:val="0"/>
          </w:rPr>
          <w:t xml:space="preserve">2024 </w:t>
        </w:r>
      </w:hyperlink>
      <w:hyperlink r:id="rId19">
        <w:r w:rsidDel="00000000" w:rsidR="00000000" w:rsidRPr="00000000">
          <w:rPr>
            <w:rFonts w:ascii="Instrument Sans" w:cs="Instrument Sans" w:eastAsia="Instrument Sans" w:hAnsi="Instrument Sans"/>
            <w:i w:val="1"/>
            <w:color w:val="1155cc"/>
            <w:sz w:val="20"/>
            <w:szCs w:val="20"/>
            <w:u w:val="single"/>
            <w:rtl w:val="0"/>
          </w:rPr>
          <w:t xml:space="preserve">Fortune</w:t>
        </w:r>
      </w:hyperlink>
      <w:hyperlink r:id="rId20">
        <w:r w:rsidDel="00000000" w:rsidR="00000000" w:rsidRPr="00000000">
          <w:rPr>
            <w:rFonts w:ascii="Instrument Sans" w:cs="Instrument Sans" w:eastAsia="Instrument Sans" w:hAnsi="Instrument Sans"/>
            <w:color w:val="1155cc"/>
            <w:sz w:val="20"/>
            <w:szCs w:val="20"/>
            <w:u w:val="single"/>
            <w:rtl w:val="0"/>
          </w:rPr>
          <w:t xml:space="preserve"> Cyber 60</w:t>
        </w:r>
      </w:hyperlink>
      <w:r w:rsidDel="00000000" w:rsidR="00000000" w:rsidRPr="00000000">
        <w:rPr>
          <w:rFonts w:ascii="Instrument Sans" w:cs="Instrument Sans" w:eastAsia="Instrument Sans" w:hAnsi="Instrument Sans"/>
          <w:sz w:val="20"/>
          <w:szCs w:val="20"/>
          <w:rtl w:val="0"/>
        </w:rPr>
        <w:t xml:space="preserve"> list for Second Consecutive Year, recognizing it as a “Top Growth-Stage” company for the second consecutive year.</w:t>
      </w:r>
    </w:p>
    <w:p w:rsidR="00000000" w:rsidDel="00000000" w:rsidP="00000000" w:rsidRDefault="00000000" w:rsidRPr="00000000" w14:paraId="0000001C">
      <w:pPr>
        <w:numPr>
          <w:ilvl w:val="0"/>
          <w:numId w:val="2"/>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Axonius was named to the </w:t>
      </w:r>
      <w:hyperlink r:id="rId21">
        <w:r w:rsidDel="00000000" w:rsidR="00000000" w:rsidRPr="00000000">
          <w:rPr>
            <w:rFonts w:ascii="Instrument Sans" w:cs="Instrument Sans" w:eastAsia="Instrument Sans" w:hAnsi="Instrument Sans"/>
            <w:color w:val="1155cc"/>
            <w:sz w:val="20"/>
            <w:szCs w:val="20"/>
            <w:u w:val="single"/>
            <w:rtl w:val="0"/>
          </w:rPr>
          <w:t xml:space="preserve">2023 </w:t>
        </w:r>
      </w:hyperlink>
      <w:hyperlink r:id="rId22">
        <w:r w:rsidDel="00000000" w:rsidR="00000000" w:rsidRPr="00000000">
          <w:rPr>
            <w:rFonts w:ascii="Instrument Sans" w:cs="Instrument Sans" w:eastAsia="Instrument Sans" w:hAnsi="Instrument Sans"/>
            <w:i w:val="1"/>
            <w:color w:val="1155cc"/>
            <w:sz w:val="20"/>
            <w:szCs w:val="20"/>
            <w:u w:val="single"/>
            <w:rtl w:val="0"/>
          </w:rPr>
          <w:t xml:space="preserve">Inc</w:t>
        </w:r>
      </w:hyperlink>
      <w:hyperlink r:id="rId23">
        <w:r w:rsidDel="00000000" w:rsidR="00000000" w:rsidRPr="00000000">
          <w:rPr>
            <w:rFonts w:ascii="Instrument Sans" w:cs="Instrument Sans" w:eastAsia="Instrument Sans" w:hAnsi="Instrument Sans"/>
            <w:color w:val="1155cc"/>
            <w:sz w:val="20"/>
            <w:szCs w:val="20"/>
            <w:u w:val="single"/>
            <w:rtl w:val="0"/>
          </w:rPr>
          <w:t xml:space="preserve">. Best Workplaces list</w:t>
        </w:r>
      </w:hyperlink>
      <w:r w:rsidDel="00000000" w:rsidR="00000000" w:rsidRPr="00000000">
        <w:rPr>
          <w:rFonts w:ascii="Instrument Sans" w:cs="Instrument Sans" w:eastAsia="Instrument Sans" w:hAnsi="Instrument Sans"/>
          <w:sz w:val="20"/>
          <w:szCs w:val="20"/>
          <w:rtl w:val="0"/>
        </w:rPr>
        <w:t xml:space="preserve"> for the second consecutive year.</w:t>
      </w:r>
    </w:p>
    <w:p w:rsidR="00000000" w:rsidDel="00000000" w:rsidP="00000000" w:rsidRDefault="00000000" w:rsidRPr="00000000" w14:paraId="0000001D">
      <w:pPr>
        <w:numPr>
          <w:ilvl w:val="0"/>
          <w:numId w:val="2"/>
        </w:numPr>
        <w:spacing w:line="276" w:lineRule="auto"/>
        <w:ind w:left="720" w:hanging="360"/>
        <w:rPr>
          <w:rFonts w:ascii="Instrument Sans" w:cs="Instrument Sans" w:eastAsia="Instrument Sans" w:hAnsi="Instrument Sans"/>
          <w:sz w:val="20"/>
          <w:szCs w:val="20"/>
          <w:u w:val="none"/>
        </w:rPr>
      </w:pPr>
      <w:r w:rsidDel="00000000" w:rsidR="00000000" w:rsidRPr="00000000">
        <w:rPr>
          <w:rFonts w:ascii="Instrument Sans" w:cs="Instrument Sans" w:eastAsia="Instrument Sans" w:hAnsi="Instrument Sans"/>
          <w:sz w:val="20"/>
          <w:szCs w:val="20"/>
          <w:rtl w:val="0"/>
        </w:rPr>
        <w:t xml:space="preserve">Axonius Co-Founder and CEO Dean Sysman, who was named an </w:t>
      </w:r>
      <w:r w:rsidDel="00000000" w:rsidR="00000000" w:rsidRPr="00000000">
        <w:rPr>
          <w:rFonts w:ascii="Instrument Sans" w:cs="Instrument Sans" w:eastAsia="Instrument Sans" w:hAnsi="Instrument Sans"/>
          <w:color w:val="103cc0"/>
          <w:sz w:val="20"/>
          <w:szCs w:val="20"/>
          <w:rtl w:val="0"/>
        </w:rPr>
        <w:t xml:space="preserve">E</w:t>
      </w:r>
      <w:hyperlink r:id="rId24">
        <w:r w:rsidDel="00000000" w:rsidR="00000000" w:rsidRPr="00000000">
          <w:rPr>
            <w:rFonts w:ascii="Instrument Sans" w:cs="Instrument Sans" w:eastAsia="Instrument Sans" w:hAnsi="Instrument Sans"/>
            <w:color w:val="1155cc"/>
            <w:sz w:val="20"/>
            <w:szCs w:val="20"/>
            <w:u w:val="single"/>
            <w:rtl w:val="0"/>
          </w:rPr>
          <w:t xml:space="preserve">Y Entrepreneur of the Year 2021 New York Award</w:t>
        </w:r>
      </w:hyperlink>
      <w:r w:rsidDel="00000000" w:rsidR="00000000" w:rsidRPr="00000000">
        <w:rPr>
          <w:rFonts w:ascii="Instrument Sans" w:cs="Instrument Sans" w:eastAsia="Instrument Sans" w:hAnsi="Instrument Sans"/>
          <w:color w:val="103cc0"/>
          <w:sz w:val="20"/>
          <w:szCs w:val="20"/>
          <w:rtl w:val="0"/>
        </w:rPr>
        <w:t xml:space="preserve"> </w:t>
      </w:r>
      <w:r w:rsidDel="00000000" w:rsidR="00000000" w:rsidRPr="00000000">
        <w:rPr>
          <w:rFonts w:ascii="Instrument Sans" w:cs="Instrument Sans" w:eastAsia="Instrument Sans" w:hAnsi="Instrument Sans"/>
          <w:sz w:val="20"/>
          <w:szCs w:val="20"/>
          <w:rtl w:val="0"/>
        </w:rPr>
        <w:t xml:space="preserve">winner.</w:t>
      </w:r>
    </w:p>
    <w:p w:rsidR="00000000" w:rsidDel="00000000" w:rsidP="00000000" w:rsidRDefault="00000000" w:rsidRPr="00000000" w14:paraId="0000001E">
      <w:pPr>
        <w:spacing w:line="276" w:lineRule="auto"/>
        <w:rPr>
          <w:rFonts w:ascii="Instrument Sans" w:cs="Instrument Sans" w:eastAsia="Instrument Sans" w:hAnsi="Instrument Sans"/>
          <w:b w:val="1"/>
          <w:sz w:val="20"/>
          <w:szCs w:val="20"/>
        </w:rPr>
      </w:pPr>
      <w:r w:rsidDel="00000000" w:rsidR="00000000" w:rsidRPr="00000000">
        <w:rPr>
          <w:rtl w:val="0"/>
        </w:rPr>
      </w:r>
    </w:p>
    <w:p w:rsidR="00000000" w:rsidDel="00000000" w:rsidP="00000000" w:rsidRDefault="00000000" w:rsidRPr="00000000" w14:paraId="0000001F">
      <w:pPr>
        <w:spacing w:line="276" w:lineRule="auto"/>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b w:val="1"/>
          <w:sz w:val="20"/>
          <w:szCs w:val="20"/>
          <w:rtl w:val="0"/>
        </w:rPr>
        <w:t xml:space="preserve">About Axonius:</w:t>
      </w:r>
    </w:p>
    <w:p w:rsidR="00000000" w:rsidDel="00000000" w:rsidP="00000000" w:rsidRDefault="00000000" w:rsidRPr="00000000" w14:paraId="00000020">
      <w:pPr>
        <w:spacing w:line="276"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Axonius transforms asset intelligence into intelligent action. With the Axonius Asset Cloud, customers preemptively tackle high-risk and hard-to-spot threat exposures, misconfigurations, and overspending. The integrated platform brings together data from every system in an organization’s IT infrastructure to optimize mission-critical risk, performance, and cost measures via actionable intelligence.</w:t>
      </w:r>
    </w:p>
    <w:p w:rsidR="00000000" w:rsidDel="00000000" w:rsidP="00000000" w:rsidRDefault="00000000" w:rsidRPr="00000000" w14:paraId="00000021">
      <w:pPr>
        <w:spacing w:line="276"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22">
      <w:pPr>
        <w:spacing w:line="276"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Covering cyber assets, software, SaaS applications, identities, vulnerabilities, infrastructure, and more, Axonius is the one place to go for Security, IT, and GRC teams to continuously drive actionability across the organization. Cited as one of the fastest-growing cybersecurity startups, with accolades from CNBC, Forbes, and Fortune, Axonius supports millions of assets for leading customers across industries and around the world.</w:t>
      </w:r>
    </w:p>
    <w:p w:rsidR="00000000" w:rsidDel="00000000" w:rsidP="00000000" w:rsidRDefault="00000000" w:rsidRPr="00000000" w14:paraId="00000023">
      <w:pPr>
        <w:spacing w:line="276"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24">
      <w:pPr>
        <w:spacing w:line="276" w:lineRule="auto"/>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sz w:val="20"/>
          <w:szCs w:val="20"/>
          <w:rtl w:val="0"/>
        </w:rPr>
        <w:t xml:space="preserve">Bring truth to action with Axonius. Learn more at </w:t>
      </w:r>
      <w:hyperlink r:id="rId25">
        <w:r w:rsidDel="00000000" w:rsidR="00000000" w:rsidRPr="00000000">
          <w:rPr>
            <w:rFonts w:ascii="Instrument Sans" w:cs="Instrument Sans" w:eastAsia="Instrument Sans" w:hAnsi="Instrument Sans"/>
            <w:color w:val="1155cc"/>
            <w:sz w:val="20"/>
            <w:szCs w:val="20"/>
            <w:u w:val="single"/>
            <w:rtl w:val="0"/>
          </w:rPr>
          <w:t xml:space="preserve">www.axonius.com</w:t>
        </w:r>
      </w:hyperlink>
      <w:r w:rsidDel="00000000" w:rsidR="00000000" w:rsidRPr="00000000">
        <w:rPr>
          <w:rFonts w:ascii="Instrument Sans" w:cs="Instrument Sans" w:eastAsia="Instrument Sans" w:hAnsi="Instrument Sans"/>
          <w:sz w:val="20"/>
          <w:szCs w:val="20"/>
          <w:rtl w:val="0"/>
        </w:rPr>
        <w:t xml:space="preserve">. </w:t>
      </w:r>
      <w:r w:rsidDel="00000000" w:rsidR="00000000" w:rsidRPr="00000000">
        <w:rPr>
          <w:rtl w:val="0"/>
        </w:rPr>
      </w:r>
    </w:p>
    <w:p w:rsidR="00000000" w:rsidDel="00000000" w:rsidP="00000000" w:rsidRDefault="00000000" w:rsidRPr="00000000" w14:paraId="00000025">
      <w:pPr>
        <w:pageBreakBefore w:val="0"/>
        <w:ind w:left="0" w:firstLine="0"/>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26">
      <w:pPr>
        <w:pageBreakBefore w:val="0"/>
        <w:ind w:left="0" w:firstLine="0"/>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b w:val="1"/>
          <w:sz w:val="20"/>
          <w:szCs w:val="20"/>
          <w:rtl w:val="0"/>
        </w:rPr>
        <w:t xml:space="preserve">Media Contact:</w:t>
      </w:r>
      <w:r w:rsidDel="00000000" w:rsidR="00000000" w:rsidRPr="00000000">
        <w:rPr>
          <w:rFonts w:ascii="Instrument Sans" w:cs="Instrument Sans" w:eastAsia="Instrument Sans" w:hAnsi="Instrument Sans"/>
          <w:sz w:val="20"/>
          <w:szCs w:val="20"/>
          <w:rtl w:val="0"/>
        </w:rPr>
        <w:t xml:space="preserve"> </w:t>
      </w:r>
      <w:hyperlink r:id="rId26">
        <w:r w:rsidDel="00000000" w:rsidR="00000000" w:rsidRPr="00000000">
          <w:rPr>
            <w:rFonts w:ascii="Instrument Sans" w:cs="Instrument Sans" w:eastAsia="Instrument Sans" w:hAnsi="Instrument Sans"/>
            <w:color w:val="1155cc"/>
            <w:sz w:val="20"/>
            <w:szCs w:val="20"/>
            <w:u w:val="single"/>
            <w:rtl w:val="0"/>
          </w:rPr>
          <w:t xml:space="preserve">press@axonius.com</w:t>
        </w:r>
      </w:hyperlink>
      <w:r w:rsidDel="00000000" w:rsidR="00000000" w:rsidRPr="00000000">
        <w:rPr>
          <w:rFonts w:ascii="Instrument Sans" w:cs="Instrument Sans" w:eastAsia="Instrument Sans" w:hAnsi="Instrument Sans"/>
          <w:sz w:val="20"/>
          <w:szCs w:val="20"/>
          <w:rtl w:val="0"/>
        </w:rPr>
        <w:t xml:space="preserve"> </w:t>
      </w:r>
      <w:r w:rsidDel="00000000" w:rsidR="00000000" w:rsidRPr="00000000">
        <w:rPr>
          <w:rtl w:val="0"/>
        </w:rPr>
      </w:r>
    </w:p>
    <w:p w:rsidR="00000000" w:rsidDel="00000000" w:rsidP="00000000" w:rsidRDefault="00000000" w:rsidRPr="00000000" w14:paraId="00000027">
      <w:pPr>
        <w:pageBreakBefore w:val="0"/>
        <w:ind w:left="0" w:firstLine="0"/>
        <w:rPr>
          <w:rFonts w:ascii="Instrument Sans" w:cs="Instrument Sans" w:eastAsia="Instrument Sans" w:hAnsi="Instrument Sans"/>
          <w:b w:val="1"/>
        </w:rPr>
      </w:pPr>
      <w:r w:rsidDel="00000000" w:rsidR="00000000" w:rsidRPr="00000000">
        <w:rPr>
          <w:rtl w:val="0"/>
        </w:rPr>
      </w:r>
    </w:p>
    <w:sectPr>
      <w:headerReference r:id="rId27" w:type="default"/>
      <w:headerReference r:id="rId28" w:type="first"/>
      <w:headerReference r:id="rId29" w:type="even"/>
      <w:footerReference r:id="rId30" w:type="default"/>
      <w:footerReference r:id="rId31" w:type="even"/>
      <w:pgSz w:h="15840" w:w="12240" w:orient="portrait"/>
      <w:pgMar w:bottom="1440" w:top="198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Instrument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B">
    <w:pPr>
      <w:tabs>
        <w:tab w:val="center" w:leader="none" w:pos="4680"/>
        <w:tab w:val="right" w:leader="none" w:pos="9360"/>
      </w:tabs>
      <w:ind w:left="-1440" w:firstLine="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-19047</wp:posOffset>
          </wp:positionH>
          <wp:positionV relativeFrom="paragraph">
            <wp:posOffset>-638172</wp:posOffset>
          </wp:positionV>
          <wp:extent cx="5943600" cy="406400"/>
          <wp:effectExtent b="0" l="0" r="0" t="0"/>
          <wp:wrapNone/>
          <wp:docPr id="6"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40640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C">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Fonts w:ascii="Avenir" w:cs="Avenir" w:eastAsia="Avenir" w:hAnsi="Avenir"/>
        <w:b w:val="0"/>
        <w:i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D">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Fonts w:ascii="Avenir" w:cs="Avenir" w:eastAsia="Avenir" w:hAnsi="Avenir"/>
        <w:b w:val="0"/>
        <w:i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2E">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wp:posOffset>
          </wp:positionH>
          <wp:positionV relativeFrom="paragraph">
            <wp:posOffset>276225</wp:posOffset>
          </wp:positionV>
          <wp:extent cx="1299941" cy="576263"/>
          <wp:effectExtent b="0" l="0" r="0" t="0"/>
          <wp:wrapNone/>
          <wp:docPr id="5"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99941" cy="576263"/>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A">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venir" w:cs="Avenir" w:eastAsia="Avenir" w:hAnsi="Avenir"/>
        <w:sz w:val="21"/>
        <w:szCs w:val="21"/>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40" w:lineRule="auto"/>
    </w:pPr>
    <w:rPr>
      <w:color w:val="000000"/>
      <w:sz w:val="44"/>
      <w:szCs w:val="44"/>
    </w:rPr>
  </w:style>
  <w:style w:type="paragraph" w:styleId="Heading2">
    <w:name w:val="heading 2"/>
    <w:basedOn w:val="Normal"/>
    <w:next w:val="Normal"/>
    <w:pPr>
      <w:pageBreakBefore w:val="0"/>
    </w:pPr>
    <w:rPr>
      <w:b w:val="1"/>
      <w:color w:val="7f7f7f"/>
    </w:rPr>
  </w:style>
  <w:style w:type="paragraph" w:styleId="Heading3">
    <w:name w:val="heading 3"/>
    <w:basedOn w:val="Normal"/>
    <w:next w:val="Normal"/>
    <w:pPr>
      <w:keepNext w:val="1"/>
      <w:keepLines w:val="1"/>
      <w:pageBreakBefore w:val="0"/>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40" w:lineRule="auto"/>
    </w:pPr>
    <w:rPr>
      <w:color w:val="000000"/>
      <w:sz w:val="44"/>
      <w:szCs w:val="44"/>
    </w:rPr>
  </w:style>
  <w:style w:type="paragraph" w:styleId="Heading2">
    <w:name w:val="heading 2"/>
    <w:basedOn w:val="Normal"/>
    <w:next w:val="Normal"/>
    <w:pPr>
      <w:pageBreakBefore w:val="0"/>
    </w:pPr>
    <w:rPr>
      <w:b w:val="1"/>
      <w:color w:val="7f7f7f"/>
    </w:rPr>
  </w:style>
  <w:style w:type="paragraph" w:styleId="Heading3">
    <w:name w:val="heading 3"/>
    <w:basedOn w:val="Normal"/>
    <w:next w:val="Normal"/>
    <w:pPr>
      <w:keepNext w:val="1"/>
      <w:keepLines w:val="1"/>
      <w:pageBreakBefore w:val="0"/>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40" w:lineRule="auto"/>
    </w:pPr>
    <w:rPr>
      <w:color w:val="000000"/>
      <w:sz w:val="44"/>
      <w:szCs w:val="44"/>
    </w:rPr>
  </w:style>
  <w:style w:type="paragraph" w:styleId="Heading2">
    <w:name w:val="heading 2"/>
    <w:basedOn w:val="Normal"/>
    <w:next w:val="Normal"/>
    <w:pPr>
      <w:pageBreakBefore w:val="0"/>
    </w:pPr>
    <w:rPr>
      <w:b w:val="1"/>
      <w:color w:val="7f7f7f"/>
    </w:rPr>
  </w:style>
  <w:style w:type="paragraph" w:styleId="Heading3">
    <w:name w:val="heading 3"/>
    <w:basedOn w:val="Normal"/>
    <w:next w:val="Normal"/>
    <w:pPr>
      <w:keepNext w:val="1"/>
      <w:keepLines w:val="1"/>
      <w:pageBreakBefore w:val="0"/>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20" Type="http://schemas.openxmlformats.org/officeDocument/2006/relationships/hyperlink" Target="https://www.axonius.com/newsroom/press-release/axonius-named-to-fortune-cyber-60-list-for-second-consecutive-year" TargetMode="External"/><Relationship Id="rId22" Type="http://schemas.openxmlformats.org/officeDocument/2006/relationships/hyperlink" Target="https://www.axonius.com/newsroom/press-release/axonius-named-to-inc-magazine-2023-best-workplaces" TargetMode="External"/><Relationship Id="rId21" Type="http://schemas.openxmlformats.org/officeDocument/2006/relationships/hyperlink" Target="https://www.axonius.com/newsroom/press-release/axonius-named-to-inc-magazine-2023-best-workplaces" TargetMode="External"/><Relationship Id="rId24" Type="http://schemas.openxmlformats.org/officeDocument/2006/relationships/hyperlink" Target="https://eoyhof.ey.com/" TargetMode="External"/><Relationship Id="rId23" Type="http://schemas.openxmlformats.org/officeDocument/2006/relationships/hyperlink" Target="https://www.axonius.com/newsroom/press-release/axonius-named-to-inc-magazine-2023-best-workplace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axonius.com/platform/saas-applications" TargetMode="External"/><Relationship Id="rId26" Type="http://schemas.openxmlformats.org/officeDocument/2006/relationships/hyperlink" Target="mailto:press@axonius.com" TargetMode="External"/><Relationship Id="rId25" Type="http://schemas.openxmlformats.org/officeDocument/2006/relationships/hyperlink" Target="http://www.axonius.com" TargetMode="External"/><Relationship Id="rId28" Type="http://schemas.openxmlformats.org/officeDocument/2006/relationships/header" Target="header2.xml"/><Relationship Id="rId27"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29" Type="http://schemas.openxmlformats.org/officeDocument/2006/relationships/header" Target="header3.xml"/><Relationship Id="rId7" Type="http://schemas.openxmlformats.org/officeDocument/2006/relationships/hyperlink" Target="https://www.axonius.com/platform/cyber-assets" TargetMode="External"/><Relationship Id="rId8" Type="http://schemas.openxmlformats.org/officeDocument/2006/relationships/hyperlink" Target="https://www.axonius.com/platform/software-assets" TargetMode="External"/><Relationship Id="rId31" Type="http://schemas.openxmlformats.org/officeDocument/2006/relationships/footer" Target="footer2.xml"/><Relationship Id="rId30" Type="http://schemas.openxmlformats.org/officeDocument/2006/relationships/footer" Target="footer1.xml"/><Relationship Id="rId11" Type="http://schemas.openxmlformats.org/officeDocument/2006/relationships/hyperlink" Target="https://www.axonius.com/platform/identities" TargetMode="External"/><Relationship Id="rId10" Type="http://schemas.openxmlformats.org/officeDocument/2006/relationships/hyperlink" Target="https://www.axonius.com/platform/exposures" TargetMode="External"/><Relationship Id="rId13" Type="http://schemas.openxmlformats.org/officeDocument/2006/relationships/hyperlink" Target="https://docs.axonius.com/docs/adapters-list" TargetMode="External"/><Relationship Id="rId12" Type="http://schemas.openxmlformats.org/officeDocument/2006/relationships/hyperlink" Target="https://www.axonius.com/newsroom/press-release/axonius-closes-200m-series-e-funding-round" TargetMode="External"/><Relationship Id="rId15" Type="http://schemas.openxmlformats.org/officeDocument/2006/relationships/hyperlink" Target="https://www.axonius.com/newsroom/press-release/axonius-named-to-fast-companys-annual-list-of-the-worlds-most-innovative-companies-of-2025" TargetMode="External"/><Relationship Id="rId14" Type="http://schemas.openxmlformats.org/officeDocument/2006/relationships/hyperlink" Target="https://www.axonius.com/company/axoniusx" TargetMode="External"/><Relationship Id="rId17" Type="http://schemas.openxmlformats.org/officeDocument/2006/relationships/hyperlink" Target="https://www.axonius.com/newsroom/press-release/axonius-is-named-to-the-2024-forbes-cloud-100" TargetMode="External"/><Relationship Id="rId16" Type="http://schemas.openxmlformats.org/officeDocument/2006/relationships/hyperlink" Target="https://www.crn.com/news/security/2024/the-20-coolest-security-operations-risk-and-threat-intelligence-of-2023-the-security-100?page=3" TargetMode="External"/><Relationship Id="rId19" Type="http://schemas.openxmlformats.org/officeDocument/2006/relationships/hyperlink" Target="https://www.axonius.com/newsroom/press-release/axonius-named-to-fortune-cyber-60-list-for-second-consecutive-year" TargetMode="External"/><Relationship Id="rId18" Type="http://schemas.openxmlformats.org/officeDocument/2006/relationships/hyperlink" Target="https://www.axonius.com/newsroom/press-release/axonius-named-to-fortune-cyber-60-list-for-second-consecutive-yea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strumentSans-regular.ttf"/><Relationship Id="rId2" Type="http://schemas.openxmlformats.org/officeDocument/2006/relationships/font" Target="fonts/InstrumentSans-bold.ttf"/><Relationship Id="rId3" Type="http://schemas.openxmlformats.org/officeDocument/2006/relationships/font" Target="fonts/InstrumentSans-italic.ttf"/><Relationship Id="rId4" Type="http://schemas.openxmlformats.org/officeDocument/2006/relationships/font" Target="fonts/Instrument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MTaCrjbdNa6ZvKKmd4Zu1wbL0aQ==">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